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hint="eastAsia" w:ascii="仿宋_GB2312" w:eastAsia="仿宋_GB2312"/>
          <w:sz w:val="36"/>
          <w:szCs w:val="30"/>
          <w:lang w:val="en-US" w:eastAsia="zh-CN"/>
        </w:rPr>
      </w:pPr>
      <w:r>
        <w:rPr>
          <w:rFonts w:hint="eastAsia" w:ascii="仿宋_GB2312" w:hAnsi="黑体" w:eastAsia="仿宋_GB2312"/>
          <w:b/>
          <w:sz w:val="32"/>
          <w:szCs w:val="30"/>
        </w:rPr>
        <w:t>附件</w:t>
      </w:r>
      <w:r>
        <w:rPr>
          <w:rFonts w:hint="eastAsia" w:ascii="仿宋_GB2312" w:hAnsi="黑体" w:eastAsia="仿宋_GB2312"/>
          <w:b/>
          <w:sz w:val="32"/>
          <w:szCs w:val="30"/>
          <w:lang w:val="en-US" w:eastAsia="zh-CN"/>
        </w:rPr>
        <w:t>4</w:t>
      </w:r>
    </w:p>
    <w:p>
      <w:pPr>
        <w:adjustRightInd w:val="0"/>
        <w:snapToGrid w:val="0"/>
        <w:spacing w:after="156" w:afterLines="50" w:line="500" w:lineRule="exact"/>
        <w:jc w:val="center"/>
        <w:rPr>
          <w:rFonts w:eastAsia="方正小标宋简体"/>
          <w:sz w:val="36"/>
          <w:szCs w:val="30"/>
        </w:rPr>
      </w:pPr>
      <w:r>
        <w:rPr>
          <w:rFonts w:hint="eastAsia" w:eastAsia="方正小标宋简体"/>
          <w:sz w:val="36"/>
          <w:szCs w:val="30"/>
        </w:rPr>
        <w:t>浙江省</w:t>
      </w:r>
      <w:r>
        <w:rPr>
          <w:rFonts w:eastAsia="方正小标宋简体"/>
          <w:sz w:val="36"/>
          <w:szCs w:val="30"/>
        </w:rPr>
        <w:t>高</w:t>
      </w:r>
      <w:r>
        <w:rPr>
          <w:rFonts w:hint="eastAsia" w:eastAsia="方正小标宋简体"/>
          <w:sz w:val="36"/>
          <w:szCs w:val="30"/>
        </w:rPr>
        <w:t>等</w:t>
      </w:r>
      <w:r>
        <w:rPr>
          <w:rFonts w:eastAsia="方正小标宋简体"/>
          <w:sz w:val="36"/>
          <w:szCs w:val="30"/>
        </w:rPr>
        <w:t>学校实验室安全检查项目</w:t>
      </w:r>
      <w:r>
        <w:rPr>
          <w:rFonts w:hint="eastAsia" w:eastAsia="方正小标宋简体"/>
          <w:sz w:val="36"/>
          <w:szCs w:val="30"/>
        </w:rPr>
        <w:t>表（202</w:t>
      </w:r>
      <w:r>
        <w:rPr>
          <w:rFonts w:hint="eastAsia" w:eastAsia="方正小标宋简体"/>
          <w:sz w:val="36"/>
          <w:szCs w:val="30"/>
          <w:lang w:val="en-US" w:eastAsia="zh-CN"/>
        </w:rPr>
        <w:t>2</w:t>
      </w:r>
      <w:bookmarkStart w:id="0" w:name="_GoBack"/>
      <w:bookmarkEnd w:id="0"/>
      <w:r>
        <w:rPr>
          <w:rFonts w:hint="eastAsia" w:eastAsia="方正小标宋简体"/>
          <w:sz w:val="36"/>
          <w:szCs w:val="30"/>
        </w:rPr>
        <w:t>）</w:t>
      </w:r>
    </w:p>
    <w:tbl>
      <w:tblPr>
        <w:tblStyle w:val="18"/>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5810"/>
        <w:gridCol w:w="3260"/>
        <w:gridCol w:w="599"/>
        <w:gridCol w:w="853"/>
        <w:gridCol w:w="882"/>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w:t>
            </w:r>
            <w:r>
              <w:rPr>
                <w:rFonts w:eastAsia="黑体"/>
                <w:b/>
                <w:bCs/>
                <w:kern w:val="0"/>
                <w:szCs w:val="21"/>
              </w:rPr>
              <w:t>要点</w:t>
            </w:r>
          </w:p>
        </w:tc>
        <w:tc>
          <w:tcPr>
            <w:tcW w:w="4454" w:type="dxa"/>
            <w:gridSpan w:val="4"/>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continue"/>
            <w:shd w:val="clear" w:color="auto" w:fill="auto"/>
            <w:tcMar>
              <w:left w:w="45" w:type="dxa"/>
              <w:right w:w="45" w:type="dxa"/>
            </w:tcMar>
            <w:vAlign w:val="center"/>
          </w:tcPr>
          <w:p>
            <w:pPr>
              <w:spacing w:line="300" w:lineRule="exact"/>
              <w:jc w:val="left"/>
              <w:rPr>
                <w:rFonts w:eastAsia="黑体"/>
                <w:b/>
                <w:bCs/>
                <w:kern w:val="0"/>
                <w:szCs w:val="21"/>
              </w:rPr>
            </w:pPr>
          </w:p>
        </w:tc>
        <w:tc>
          <w:tcPr>
            <w:tcW w:w="581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326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599" w:type="dxa"/>
            <w:shd w:val="clear" w:color="auto" w:fill="auto"/>
            <w:tcMar>
              <w:top w:w="28" w:type="dxa"/>
              <w:left w:w="45" w:type="dxa"/>
              <w:bottom w:w="28" w:type="dxa"/>
              <w:right w:w="45" w:type="dxa"/>
            </w:tcMar>
            <w:vAlign w:val="center"/>
          </w:tcPr>
          <w:p>
            <w:pPr>
              <w:spacing w:line="240" w:lineRule="exact"/>
              <w:jc w:val="center"/>
              <w:rPr>
                <w:rFonts w:eastAsia="黑体"/>
                <w:b/>
                <w:bCs/>
                <w:kern w:val="0"/>
                <w:szCs w:val="21"/>
              </w:rPr>
            </w:pPr>
            <w:r>
              <w:rPr>
                <w:rFonts w:hint="eastAsia" w:eastAsia="黑体"/>
                <w:b/>
                <w:bCs/>
                <w:kern w:val="0"/>
                <w:szCs w:val="21"/>
              </w:rPr>
              <w:t>符合</w:t>
            </w:r>
          </w:p>
        </w:tc>
        <w:tc>
          <w:tcPr>
            <w:tcW w:w="853"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不符合</w:t>
            </w:r>
          </w:p>
        </w:tc>
        <w:tc>
          <w:tcPr>
            <w:tcW w:w="882"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不适用</w:t>
            </w:r>
          </w:p>
        </w:tc>
        <w:tc>
          <w:tcPr>
            <w:tcW w:w="2120" w:type="dxa"/>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组织体系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w:t>
            </w:r>
          </w:p>
        </w:tc>
        <w:tc>
          <w:tcPr>
            <w:tcW w:w="5810" w:type="dxa"/>
            <w:shd w:val="clear" w:color="auto" w:fill="auto"/>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w:t>
            </w:r>
          </w:p>
        </w:tc>
        <w:tc>
          <w:tcPr>
            <w:tcW w:w="5810" w:type="dxa"/>
            <w:shd w:val="clear" w:color="auto" w:fill="auto"/>
            <w:tcMar>
              <w:left w:w="45" w:type="dxa"/>
              <w:right w:w="45" w:type="dxa"/>
            </w:tcMar>
            <w:vAlign w:val="center"/>
          </w:tcPr>
          <w:p>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rFonts w:hint="eastAsia"/>
                <w:kern w:val="0"/>
                <w:szCs w:val="21"/>
              </w:rPr>
              <w:t>2</w:t>
            </w:r>
            <w:r>
              <w:rPr>
                <w:kern w:val="0"/>
                <w:szCs w:val="21"/>
              </w:rPr>
              <w:t>万学生规模以上且仪器设备总值超过3亿元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存档资料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成立实验室安全领导小组，由党/政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院系发布的文件</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bCs/>
                <w:kern w:val="0"/>
                <w:szCs w:val="21"/>
              </w:rPr>
            </w:pPr>
            <w:r>
              <w:rPr>
                <w:rFonts w:eastAsia="黑体"/>
                <w:b/>
                <w:bCs/>
                <w:kern w:val="0"/>
                <w:szCs w:val="21"/>
              </w:rPr>
              <w:t>1.3</w:t>
            </w:r>
          </w:p>
        </w:tc>
        <w:tc>
          <w:tcPr>
            <w:tcW w:w="13524" w:type="dxa"/>
            <w:gridSpan w:val="6"/>
            <w:shd w:val="clear" w:color="auto" w:fill="auto"/>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有财务</w:t>
            </w:r>
            <w:r>
              <w:rPr>
                <w:bCs/>
                <w:kern w:val="0"/>
                <w:szCs w:val="21"/>
              </w:rPr>
              <w:t>证据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证据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证据</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1.4.1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1.4.2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2.1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校级层面实验室安全管理制度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pPr>
              <w:spacing w:line="300" w:lineRule="exact"/>
              <w:rPr>
                <w:bCs/>
                <w:kern w:val="0"/>
                <w:szCs w:val="21"/>
              </w:rPr>
            </w:pPr>
            <w:r>
              <w:rPr>
                <w:rFonts w:hint="eastAsia"/>
                <w:bCs/>
                <w:kern w:val="0"/>
                <w:szCs w:val="21"/>
              </w:rPr>
              <w:t>1.制度文件有学校正式发文号；</w:t>
            </w:r>
          </w:p>
          <w:p>
            <w:pPr>
              <w:spacing w:line="300" w:lineRule="exact"/>
              <w:rPr>
                <w:bCs/>
                <w:kern w:val="0"/>
                <w:szCs w:val="21"/>
              </w:rPr>
            </w:pPr>
            <w:r>
              <w:rPr>
                <w:rFonts w:hint="eastAsia"/>
                <w:bCs/>
                <w:kern w:val="0"/>
                <w:szCs w:val="21"/>
              </w:rPr>
              <w:t>2.文件是否长期未修订更新、陈旧过时；</w:t>
            </w:r>
          </w:p>
          <w:p>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2.1.2</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val="continue"/>
            <w:shd w:val="clear" w:color="auto" w:fill="auto"/>
            <w:tcMar>
              <w:left w:w="45" w:type="dxa"/>
              <w:right w:w="45" w:type="dxa"/>
            </w:tcMar>
            <w:vAlign w:val="center"/>
          </w:tcPr>
          <w:p>
            <w:pPr>
              <w:spacing w:line="300" w:lineRule="exac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有实验室安全检查制度</w:t>
            </w:r>
          </w:p>
        </w:tc>
        <w:tc>
          <w:tcPr>
            <w:tcW w:w="3260" w:type="dxa"/>
            <w:vMerge w:val="continue"/>
            <w:shd w:val="clear" w:color="auto" w:fill="auto"/>
            <w:tcMar>
              <w:left w:w="45" w:type="dxa"/>
              <w:right w:w="45" w:type="dxa"/>
            </w:tcMar>
            <w:vAlign w:val="center"/>
          </w:tcPr>
          <w:p>
            <w:pPr>
              <w:spacing w:line="300" w:lineRule="exac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2.1.6</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2.1.7</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2.2</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院系层面的安全管理制度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Cs/>
                <w:kern w:val="0"/>
                <w:szCs w:val="21"/>
              </w:rPr>
            </w:pPr>
            <w:r>
              <w:rPr>
                <w:rFonts w:eastAsia="黑体"/>
                <w:bCs/>
                <w:kern w:val="0"/>
                <w:szCs w:val="21"/>
              </w:rPr>
              <w:t>2.2.1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查院系制度是否公开明示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查看开题报告、新开设教学实验审批资料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3.1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化学、生物等安全重点防范学科应开设必修课</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查看历年存档记录，包含培训时间、内容、人数、通知、会场照片等</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3.2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实验室安全</w:t>
            </w:r>
            <w:r>
              <w:rPr>
                <w:rFonts w:hint="eastAsia"/>
                <w:b/>
                <w:kern w:val="0"/>
                <w:szCs w:val="21"/>
              </w:rPr>
              <w:t>知识考试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查看考试系统</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3.2.2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查看系统</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3.3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查看每年发放记录、师生签字的承诺书</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查看相关网页</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3.3.5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通过各种信息</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查看信息</w:t>
            </w:r>
            <w:r>
              <w:rPr>
                <w:rFonts w:hint="eastAsia"/>
                <w:bCs/>
                <w:kern w:val="0"/>
                <w:szCs w:val="21"/>
              </w:rPr>
              <w:t>/媒体</w:t>
            </w:r>
            <w:r>
              <w:rPr>
                <w:bCs/>
                <w:kern w:val="0"/>
                <w:szCs w:val="21"/>
              </w:rPr>
              <w:t>平台</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4.1</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查看清单和明细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4.1.2</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4.2</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学校层面的定期/不定期检查每年不少于4次，并记录存档</w:t>
            </w:r>
          </w:p>
        </w:tc>
        <w:tc>
          <w:tcPr>
            <w:tcW w:w="3260" w:type="dxa"/>
            <w:vMerge w:val="restart"/>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4.2.2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专门人员开展定期检查，每月不少于1次，并记录存档</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4.3</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4.4.1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查看相关资料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4.4.3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检查人员规范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4.5.1</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4.5.2</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4.5.3</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室内外</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有信息牌，信息完整，应急电话有效</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消防通道通畅</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），但必须保证留有大于2.0米净宽的消防通道，需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599" w:type="dxa"/>
            <w:tcMar>
              <w:left w:w="45" w:type="dxa"/>
              <w:right w:w="45" w:type="dxa"/>
            </w:tcMar>
            <w:vAlign w:val="center"/>
          </w:tcPr>
          <w:p>
            <w:pPr>
              <w:widowControl/>
              <w:spacing w:line="300" w:lineRule="exact"/>
              <w:jc w:val="center"/>
              <w:rPr>
                <w:bCs/>
                <w:szCs w:val="21"/>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5.1.7</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5.1.8</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实验室人均面积符合规定要求，其中理工农医类不小于2.5平方米/人，社科类不小于1.5平方米/人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观察实验台</w:t>
            </w:r>
            <w:r>
              <w:rPr>
                <w:bCs/>
                <w:szCs w:val="21"/>
              </w:rPr>
              <w:t>与总面积</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5.1.9</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2米</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查看现场</w:t>
            </w:r>
          </w:p>
        </w:tc>
        <w:tc>
          <w:tcPr>
            <w:tcW w:w="599" w:type="dxa"/>
            <w:tcMar>
              <w:left w:w="45" w:type="dxa"/>
              <w:right w:w="45" w:type="dxa"/>
            </w:tcMar>
            <w:vAlign w:val="center"/>
          </w:tcPr>
          <w:p>
            <w:pPr>
              <w:widowControl/>
              <w:spacing w:line="300" w:lineRule="exact"/>
              <w:jc w:val="center"/>
              <w:rPr>
                <w:bCs/>
                <w:szCs w:val="21"/>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5.1.10</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实验台材料合格</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5.1.12</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有必要的振动屏蔽措施</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5.1.13</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有必要的磁屏蔽措施</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5.1.14</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照明良好，桌面光照度一般不小于150</w:t>
            </w:r>
            <w:r>
              <w:rPr>
                <w:szCs w:val="21"/>
              </w:rPr>
              <w:t xml:space="preserve"> </w:t>
            </w:r>
            <w:r>
              <w:rPr>
                <w:rFonts w:hint="eastAsia"/>
                <w:szCs w:val="21"/>
              </w:rPr>
              <w:t>LX</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照明良好</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噪声一般低于55分贝（机械设备可低于70分贝）</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噪声达标</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5.1.16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现场或实验室图片</w:t>
            </w:r>
          </w:p>
        </w:tc>
        <w:tc>
          <w:tcPr>
            <w:tcW w:w="599" w:type="dxa"/>
            <w:tcMar>
              <w:left w:w="45" w:type="dxa"/>
              <w:right w:w="45" w:type="dxa"/>
            </w:tcMar>
            <w:vAlign w:val="center"/>
          </w:tcPr>
          <w:p>
            <w:pPr>
              <w:widowControl/>
              <w:spacing w:line="300" w:lineRule="exact"/>
              <w:jc w:val="center"/>
              <w:rPr>
                <w:bCs/>
                <w:szCs w:val="21"/>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5.1.17</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widowControl/>
              <w:spacing w:line="300" w:lineRule="exact"/>
              <w:jc w:val="center"/>
              <w:rPr>
                <w:bCs/>
                <w:szCs w:val="21"/>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b/>
                <w:kern w:val="0"/>
                <w:szCs w:val="21"/>
              </w:rPr>
              <w:t>5.2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管线基础安全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5.2.1</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管线布局合理</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5.2.2</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供气管道有标识，无破损</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5.2.3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可燃气管道远离高温、明火</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5.3.1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整洁卫生有序</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人员要在岗</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5.3.5</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记录表</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5.4.1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5.4.3</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5.4.5</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w:t>
            </w:r>
            <w:r>
              <w:rPr>
                <w:bCs/>
                <w:szCs w:val="21"/>
              </w:rPr>
              <w:t>席子、被褥等</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5.4.6</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5.4.7</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查看现场</w:t>
            </w:r>
            <w:r>
              <w:rPr>
                <w:bCs/>
                <w:szCs w:val="21"/>
              </w:rPr>
              <w:t>与资料</w:t>
            </w:r>
          </w:p>
        </w:tc>
        <w:tc>
          <w:tcPr>
            <w:tcW w:w="599" w:type="dxa"/>
            <w:tcMar>
              <w:left w:w="45" w:type="dxa"/>
              <w:right w:w="45" w:type="dxa"/>
            </w:tcMar>
            <w:vAlign w:val="center"/>
          </w:tcPr>
          <w:p>
            <w:pPr>
              <w:spacing w:line="300" w:lineRule="exact"/>
              <w:jc w:val="center"/>
              <w:rPr>
                <w:bCs/>
                <w:szCs w:val="21"/>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6.1</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具有潜在火灾危险的实验室内应配备合适的灭火设备（烟感</w:t>
            </w:r>
            <w:r>
              <w:rPr>
                <w:rFonts w:asciiTheme="minorEastAsia" w:hAnsiTheme="minorEastAsia" w:eastAsiaTheme="minorEastAsia"/>
                <w:kern w:val="0"/>
                <w:szCs w:val="21"/>
              </w:rPr>
              <w:t>报警器、</w:t>
            </w:r>
            <w:r>
              <w:rPr>
                <w:rFonts w:hint="eastAsia" w:asciiTheme="minorEastAsia" w:hAnsiTheme="minorEastAsia" w:eastAsiaTheme="minorEastAsia"/>
                <w:kern w:val="0"/>
                <w:szCs w:val="21"/>
              </w:rPr>
              <w:t>灭火器、 灭火毯、消防沙桶、消防喷淋等），正常有效、</w:t>
            </w:r>
            <w:r>
              <w:rPr>
                <w:rFonts w:asciiTheme="minorEastAsia" w:hAnsiTheme="minorEastAsia" w:eastAsiaTheme="minorEastAsia"/>
                <w:kern w:val="0"/>
                <w:szCs w:val="21"/>
              </w:rPr>
              <w:t>方便取用</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kern w:val="0"/>
                <w:szCs w:val="21"/>
              </w:rPr>
              <w:t>灭火器种类适合；</w:t>
            </w:r>
            <w:r>
              <w:rPr>
                <w:rFonts w:asciiTheme="minorEastAsia" w:hAnsiTheme="minorEastAsia" w:eastAsiaTheme="minorEastAsia"/>
                <w:bCs/>
                <w:kern w:val="0"/>
                <w:szCs w:val="21"/>
              </w:rPr>
              <w:t>公共</w:t>
            </w:r>
            <w:r>
              <w:rPr>
                <w:rFonts w:hint="eastAsia" w:asciiTheme="minorEastAsia" w:hAnsiTheme="minorEastAsia" w:eastAsiaTheme="minorEastAsia"/>
                <w:bCs/>
                <w:kern w:val="0"/>
                <w:szCs w:val="21"/>
              </w:rPr>
              <w:t>区域</w:t>
            </w:r>
            <w:r>
              <w:rPr>
                <w:rFonts w:asciiTheme="minorEastAsia" w:hAnsiTheme="minorEastAsia" w:eastAsiaTheme="minorEastAsia"/>
                <w:bCs/>
                <w:kern w:val="0"/>
                <w:szCs w:val="21"/>
              </w:rPr>
              <w:t>灭火器数量</w:t>
            </w:r>
            <w:r>
              <w:rPr>
                <w:rFonts w:hint="eastAsia" w:asciiTheme="minorEastAsia" w:hAnsiTheme="minorEastAsia" w:eastAsiaTheme="minorEastAsia"/>
                <w:bCs/>
                <w:kern w:val="0"/>
                <w:szCs w:val="21"/>
              </w:rPr>
              <w:t>（间距）</w:t>
            </w:r>
            <w:r>
              <w:rPr>
                <w:rFonts w:asciiTheme="minorEastAsia" w:hAnsiTheme="minorEastAsia" w:eastAsiaTheme="minorEastAsia"/>
                <w:bCs/>
                <w:kern w:val="0"/>
                <w:szCs w:val="21"/>
              </w:rPr>
              <w:t>与</w:t>
            </w:r>
            <w:r>
              <w:rPr>
                <w:rFonts w:hint="eastAsia" w:asciiTheme="minorEastAsia" w:hAnsiTheme="minorEastAsia" w:eastAsiaTheme="minorEastAsia"/>
                <w:bCs/>
                <w:kern w:val="0"/>
                <w:szCs w:val="21"/>
              </w:rPr>
              <w:t>实验室</w:t>
            </w:r>
            <w:r>
              <w:rPr>
                <w:rFonts w:asciiTheme="minorEastAsia" w:hAnsiTheme="minorEastAsia" w:eastAsiaTheme="minorEastAsia"/>
                <w:bCs/>
                <w:kern w:val="0"/>
                <w:szCs w:val="21"/>
              </w:rPr>
              <w:t>安全等级</w:t>
            </w:r>
            <w:r>
              <w:rPr>
                <w:rFonts w:hint="eastAsia" w:asciiTheme="minorEastAsia" w:hAnsiTheme="minorEastAsia" w:eastAsiaTheme="minorEastAsia"/>
                <w:bCs/>
                <w:kern w:val="0"/>
                <w:szCs w:val="21"/>
              </w:rPr>
              <w:t>相</w:t>
            </w:r>
            <w:r>
              <w:rPr>
                <w:rFonts w:asciiTheme="minorEastAsia" w:hAnsiTheme="minorEastAsia" w:eastAsiaTheme="minorEastAsia"/>
                <w:bCs/>
                <w:kern w:val="0"/>
                <w:szCs w:val="21"/>
              </w:rPr>
              <w:t>适应</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灭火器在有效期内（压力指针</w:t>
            </w:r>
            <w:r>
              <w:rPr>
                <w:rFonts w:asciiTheme="minorEastAsia" w:hAnsiTheme="minorEastAsia" w:eastAsiaTheme="minorEastAsia"/>
                <w:kern w:val="0"/>
                <w:szCs w:val="21"/>
              </w:rPr>
              <w:t>位置</w:t>
            </w:r>
            <w:r>
              <w:rPr>
                <w:rFonts w:hint="eastAsia" w:asciiTheme="minorEastAsia" w:hAnsiTheme="minorEastAsia" w:eastAsiaTheme="minorEastAsia"/>
                <w:kern w:val="0"/>
                <w:szCs w:val="21"/>
              </w:rPr>
              <w:t>正常等），安全销（拉针）正常，瓶身无破损、腐蚀</w:t>
            </w:r>
          </w:p>
        </w:tc>
        <w:tc>
          <w:tcPr>
            <w:tcW w:w="3260" w:type="dxa"/>
            <w:shd w:val="clear" w:color="auto" w:fill="auto"/>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w:t>
            </w:r>
            <w:r>
              <w:rPr>
                <w:rFonts w:asciiTheme="minorEastAsia" w:hAnsiTheme="minorEastAsia" w:eastAsiaTheme="minorEastAsia"/>
                <w:kern w:val="0"/>
                <w:szCs w:val="21"/>
              </w:rPr>
              <w:t>开展</w:t>
            </w:r>
            <w:r>
              <w:rPr>
                <w:rFonts w:hint="eastAsia" w:asciiTheme="minorEastAsia" w:hAnsiTheme="minorEastAsia" w:eastAsiaTheme="minor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查看记录、现场提问</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6.2</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应急喷淋</w:t>
            </w:r>
            <w:r>
              <w:rPr>
                <w:rFonts w:hint="eastAsia" w:asciiTheme="minorEastAsia" w:hAnsiTheme="minorEastAsia" w:eastAsiaTheme="minorEastAsia"/>
                <w:b/>
                <w:kern w:val="0"/>
                <w:szCs w:val="21"/>
              </w:rPr>
              <w:t>与</w:t>
            </w:r>
            <w:r>
              <w:rPr>
                <w:rFonts w:asciiTheme="minorEastAsia" w:hAnsiTheme="minorEastAsia" w:eastAsiaTheme="minorEastAsia"/>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应急喷淋安装地点与工作区域之间畅通，距离不超过30米；应急喷淋安装位置合适，拉杆位置</w:t>
            </w:r>
            <w:r>
              <w:rPr>
                <w:rFonts w:asciiTheme="minorEastAsia" w:hAnsiTheme="minorEastAsia" w:eastAsiaTheme="minorEastAsia"/>
                <w:kern w:val="0"/>
                <w:szCs w:val="21"/>
              </w:rPr>
              <w:t>合适、</w:t>
            </w:r>
            <w:r>
              <w:rPr>
                <w:rFonts w:hint="eastAsia" w:asciiTheme="minorEastAsia" w:hAnsiTheme="minorEastAsia" w:eastAsiaTheme="minorEastAsia"/>
                <w:kern w:val="0"/>
                <w:szCs w:val="21"/>
              </w:rPr>
              <w:t>方向</w:t>
            </w:r>
            <w:r>
              <w:rPr>
                <w:rFonts w:asciiTheme="minorEastAsia" w:hAnsiTheme="minorEastAsia" w:eastAsiaTheme="minorEastAsia"/>
                <w:kern w:val="0"/>
                <w:szCs w:val="21"/>
              </w:rPr>
              <w:t>正确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asciiTheme="minorEastAsia" w:hAnsiTheme="minorEastAsia" w:eastAsiaTheme="minorEastAsia"/>
                <w:bCs/>
                <w:kern w:val="0"/>
                <w:szCs w:val="21"/>
              </w:rPr>
              <w:t>拉杆往下拉出水；在走廊</w:t>
            </w:r>
            <w:r>
              <w:rPr>
                <w:rFonts w:hint="eastAsia" w:asciiTheme="minorEastAsia" w:hAnsiTheme="minorEastAsia" w:eastAsiaTheme="minorEastAsia"/>
                <w:bCs/>
                <w:kern w:val="0"/>
                <w:szCs w:val="21"/>
              </w:rPr>
              <w:t>安装</w:t>
            </w:r>
            <w:r>
              <w:rPr>
                <w:rFonts w:asciiTheme="minorEastAsia" w:hAnsiTheme="minorEastAsia" w:eastAsiaTheme="minorEastAsia"/>
                <w:bCs/>
                <w:kern w:val="0"/>
                <w:szCs w:val="21"/>
              </w:rPr>
              <w:t>可以没有下水道</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应急喷淋装置水管总阀处常开状，喷</w:t>
            </w:r>
            <w:r>
              <w:rPr>
                <w:rFonts w:hint="eastAsia" w:asciiTheme="minorEastAsia" w:hAnsiTheme="minorEastAsia" w:eastAsiaTheme="minorEastAsia"/>
                <w:kern w:val="0"/>
                <w:szCs w:val="21"/>
              </w:rPr>
              <w:t>淋</w:t>
            </w:r>
            <w:r>
              <w:rPr>
                <w:rFonts w:asciiTheme="minorEastAsia" w:hAnsiTheme="minorEastAsia" w:eastAsiaTheme="minorEastAsia"/>
                <w:kern w:val="0"/>
                <w:szCs w:val="21"/>
              </w:rPr>
              <w:t>头下方无障碍物</w:t>
            </w:r>
            <w:r>
              <w:rPr>
                <w:rFonts w:hint="eastAsia" w:asciiTheme="minorEastAsia" w:hAnsiTheme="minorEastAsia" w:eastAsiaTheme="minorEastAsia"/>
                <w:kern w:val="0"/>
                <w:szCs w:val="21"/>
              </w:rPr>
              <w:t>；</w:t>
            </w:r>
            <w:r>
              <w:rPr>
                <w:rFonts w:asciiTheme="minorEastAsia" w:hAnsiTheme="minorEastAsia" w:eastAsiaTheme="minorEastAsia"/>
                <w:kern w:val="0"/>
                <w:szCs w:val="21"/>
              </w:rPr>
              <w:t>不能以普通淋浴装置代替应急喷淋装置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洗眼装置接入生活用水管道，水量水压适中（喷出高度</w:t>
            </w:r>
            <w:r>
              <w:rPr>
                <w:rFonts w:asciiTheme="minorEastAsia" w:hAnsiTheme="minorEastAsia" w:eastAsiaTheme="minorEastAsia"/>
                <w:kern w:val="0"/>
                <w:szCs w:val="21"/>
              </w:rPr>
              <w:t>8</w:t>
            </w:r>
            <w:r>
              <w:rPr>
                <w:rFonts w:hint="eastAsia" w:asciiTheme="minorEastAsia" w:hAnsiTheme="minorEastAsia" w:eastAsiaTheme="minorEastAsia"/>
                <w:kern w:val="0"/>
                <w:szCs w:val="21"/>
              </w:rPr>
              <w:t>-10cm），</w:t>
            </w:r>
            <w:r>
              <w:rPr>
                <w:rFonts w:hint="eastAsia" w:asciiTheme="minorEastAsia" w:hAnsiTheme="minorEastAsia" w:eastAsiaTheme="minorEastAsia"/>
                <w:bCs/>
                <w:kern w:val="0"/>
                <w:szCs w:val="21"/>
              </w:rPr>
              <w:t>水流畅通平稳</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不得接消防用水</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定期维护应急喷淋与</w:t>
            </w:r>
            <w:r>
              <w:rPr>
                <w:rFonts w:asciiTheme="minorEastAsia" w:hAnsiTheme="minorEastAsia" w:eastAsiaTheme="minorEastAsia"/>
                <w:kern w:val="0"/>
                <w:szCs w:val="21"/>
              </w:rPr>
              <w:t>洗眼</w:t>
            </w:r>
            <w:r>
              <w:rPr>
                <w:rFonts w:hint="eastAsia" w:asciiTheme="minorEastAsia" w:hAnsiTheme="minorEastAsia" w:eastAsiaTheme="minor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查看维护记录、无锈水脏水</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6.3</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有需要的实验场所</w:t>
            </w:r>
            <w:r>
              <w:rPr>
                <w:rFonts w:asciiTheme="minorEastAsia" w:hAnsiTheme="minorEastAsia" w:eastAsia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实验室</w:t>
            </w:r>
            <w:r>
              <w:rPr>
                <w:rFonts w:asciiTheme="minorEastAsia" w:hAnsiTheme="minorEastAsia" w:eastAsiaTheme="minorEastAsia"/>
                <w:kern w:val="0"/>
                <w:szCs w:val="21"/>
              </w:rPr>
              <w:t>通风系统运行</w:t>
            </w:r>
            <w:r>
              <w:rPr>
                <w:rFonts w:hint="eastAsia" w:asciiTheme="minorEastAsia" w:hAnsiTheme="minorEastAsia" w:eastAsiaTheme="minorEastAsia"/>
                <w:kern w:val="0"/>
                <w:szCs w:val="21"/>
              </w:rPr>
              <w:t>正常，</w:t>
            </w:r>
            <w:r>
              <w:rPr>
                <w:rFonts w:hint="eastAsia"/>
                <w:szCs w:val="21"/>
              </w:rPr>
              <w:t>柜口面</w:t>
            </w:r>
            <w:r>
              <w:rPr>
                <w:rFonts w:hint="eastAsia" w:asciiTheme="minorEastAsia" w:hAnsiTheme="minorEastAsia" w:eastAsiaTheme="minorEastAsia"/>
                <w:kern w:val="0"/>
                <w:szCs w:val="21"/>
              </w:rPr>
              <w:t>风速0.</w:t>
            </w:r>
            <w:r>
              <w:rPr>
                <w:rFonts w:asciiTheme="minorEastAsia" w:hAnsiTheme="minorEastAsia" w:eastAsiaTheme="minorEastAsia"/>
                <w:kern w:val="0"/>
                <w:szCs w:val="21"/>
              </w:rPr>
              <w:t>3</w:t>
            </w:r>
            <w:r>
              <w:rPr>
                <w:rFonts w:hint="eastAsia" w:asciiTheme="minorEastAsia" w:hAnsiTheme="minorEastAsia" w:eastAsiaTheme="minorEastAsia"/>
                <w:kern w:val="0"/>
                <w:szCs w:val="21"/>
              </w:rPr>
              <w:t>5-0.</w:t>
            </w:r>
            <w:r>
              <w:rPr>
                <w:rFonts w:asciiTheme="minorEastAsia" w:hAnsiTheme="minorEastAsia" w:eastAsiaTheme="minorEastAsia"/>
                <w:kern w:val="0"/>
                <w:szCs w:val="21"/>
              </w:rPr>
              <w:t>7</w:t>
            </w:r>
            <w:r>
              <w:rPr>
                <w:rFonts w:hint="eastAsia" w:asciiTheme="minorEastAsia" w:hAnsiTheme="minorEastAsia" w:eastAsiaTheme="minorEastAsia"/>
                <w:kern w:val="0"/>
                <w:szCs w:val="21"/>
              </w:rPr>
              <w:t>5 m/s，定期进行维护、检修有</w:t>
            </w:r>
            <w:r>
              <w:rPr>
                <w:rFonts w:asciiTheme="minorEastAsia" w:hAnsiTheme="minorEastAsia" w:eastAsiaTheme="minorEastAsia"/>
                <w:kern w:val="0"/>
                <w:szCs w:val="21"/>
              </w:rPr>
              <w:t>记录</w:t>
            </w:r>
            <w:r>
              <w:rPr>
                <w:rFonts w:hint="eastAsia" w:asciiTheme="minorEastAsia" w:hAnsiTheme="minorEastAsia" w:eastAsiaTheme="minorEastAsia"/>
                <w:kern w:val="0"/>
                <w:szCs w:val="21"/>
              </w:rPr>
              <w:t>；</w:t>
            </w:r>
            <w:r>
              <w:rPr>
                <w:rFonts w:asciiTheme="minorEastAsia" w:hAnsiTheme="minorEastAsia" w:eastAsiaTheme="minorEastAsia"/>
                <w:kern w:val="0"/>
                <w:szCs w:val="21"/>
              </w:rPr>
              <w:t>屋顶风机固定无松动、无异常噪声</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w:t>
            </w:r>
            <w:r>
              <w:rPr>
                <w:rFonts w:asciiTheme="minorEastAsia" w:hAnsiTheme="minorEastAsia" w:eastAsiaTheme="minorEastAsia"/>
                <w:kern w:val="0"/>
                <w:szCs w:val="21"/>
              </w:rPr>
              <w:t>风速测定</w:t>
            </w:r>
            <w:r>
              <w:rPr>
                <w:rFonts w:hint="eastAsia" w:asciiTheme="minorEastAsia" w:hAnsiTheme="minorEastAsia" w:eastAsiaTheme="minorEastAsia"/>
                <w:bCs/>
                <w:kern w:val="0"/>
                <w:szCs w:val="21"/>
              </w:rPr>
              <w:t>、查阅记录</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根据需要在通风橱管路上安装有毒有害气体的吸附或处理装置（如</w:t>
            </w:r>
            <w:r>
              <w:rPr>
                <w:rFonts w:asciiTheme="minorEastAsia" w:hAnsiTheme="minorEastAsia" w:eastAsiaTheme="minorEastAsia"/>
                <w:kern w:val="0"/>
                <w:szCs w:val="21"/>
              </w:rPr>
              <w:t>活性炭、光催化分</w:t>
            </w:r>
            <w:r>
              <w:rPr>
                <w:rFonts w:hint="eastAsia" w:asciiTheme="minorEastAsia" w:hAnsiTheme="minorEastAsia" w:eastAsiaTheme="minorEastAsia"/>
                <w:kern w:val="0"/>
                <w:szCs w:val="21"/>
              </w:rPr>
              <w:t>解</w:t>
            </w:r>
            <w:r>
              <w:rPr>
                <w:rFonts w:asciiTheme="minorEastAsia" w:hAnsiTheme="minorEastAsia" w:eastAsiaTheme="minorEastAsia"/>
                <w:kern w:val="0"/>
                <w:szCs w:val="21"/>
              </w:rPr>
              <w:t>、水喷淋等</w:t>
            </w:r>
            <w:r>
              <w:rPr>
                <w:rFonts w:hint="eastAsia" w:asciiTheme="minorEastAsia" w:hAnsiTheme="minorEastAsia" w:eastAsiaTheme="minorEastAsia"/>
                <w:kern w:val="0"/>
                <w:szCs w:val="21"/>
              </w:rPr>
              <w:t>）</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w:t>
            </w:r>
            <w:r>
              <w:rPr>
                <w:rFonts w:asciiTheme="minorEastAsia" w:hAnsiTheme="minorEastAsia" w:eastAsiaTheme="minorEastAsia"/>
                <w:bCs/>
                <w:kern w:val="0"/>
                <w:szCs w:val="21"/>
              </w:rPr>
              <w:t>现场</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进行实验时，可调玻璃视窗开至据台面10</w:t>
            </w:r>
            <w:r>
              <w:rPr>
                <w:rFonts w:asciiTheme="minorEastAsia" w:hAnsiTheme="minorEastAsia" w:eastAsiaTheme="minorEastAsia"/>
                <w:kern w:val="0"/>
                <w:szCs w:val="21"/>
              </w:rPr>
              <w:t>-</w:t>
            </w:r>
            <w:r>
              <w:rPr>
                <w:rFonts w:hint="eastAsia" w:asciiTheme="minorEastAsia" w:hAnsiTheme="minorEastAsia" w:eastAsiaTheme="minorEastAsia"/>
                <w:kern w:val="0"/>
                <w:szCs w:val="21"/>
              </w:rPr>
              <w:t>15cm，保持</w:t>
            </w:r>
            <w:r>
              <w:rPr>
                <w:rFonts w:asciiTheme="minorEastAsia" w:hAnsiTheme="minorEastAsia" w:eastAsiaTheme="minorEastAsia"/>
                <w:kern w:val="0"/>
                <w:szCs w:val="21"/>
              </w:rPr>
              <w:t>通风效果，并保护</w:t>
            </w:r>
            <w:r>
              <w:rPr>
                <w:rFonts w:hint="eastAsia" w:asciiTheme="minorEastAsia" w:hAnsiTheme="minorEastAsia" w:eastAsiaTheme="minorEastAsia"/>
                <w:kern w:val="0"/>
                <w:szCs w:val="21"/>
              </w:rPr>
              <w:t>操作人员胸部以上部位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r>
              <w:rPr>
                <w:rFonts w:asciiTheme="minorEastAsia" w:hAnsiTheme="minorEastAsia" w:eastAsiaTheme="minorEastAsia"/>
                <w:bCs/>
                <w:kern w:val="0"/>
                <w:szCs w:val="21"/>
              </w:rPr>
              <w:t>玻璃视窗材料应是钢化玻璃</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6.3.6</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6.3.7</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通风橱内应避免放置过多物品、器材，以免干扰空气的正常流动；通风橱内放置</w:t>
            </w:r>
            <w:r>
              <w:rPr>
                <w:rFonts w:asciiTheme="minorEastAsia" w:hAnsiTheme="minorEastAsia" w:eastAsiaTheme="minorEastAsia"/>
                <w:kern w:val="0"/>
                <w:szCs w:val="21"/>
              </w:rPr>
              <w:t>物品</w:t>
            </w:r>
            <w:r>
              <w:rPr>
                <w:rFonts w:hint="eastAsia" w:asciiTheme="minorEastAsia" w:hAnsiTheme="minorEastAsia" w:eastAsiaTheme="minorEastAsia"/>
                <w:kern w:val="0"/>
                <w:szCs w:val="21"/>
              </w:rPr>
              <w:t>应距离调节门内侧15cm左右，以免</w:t>
            </w:r>
            <w:r>
              <w:rPr>
                <w:rFonts w:asciiTheme="minorEastAsia" w:hAnsiTheme="minorEastAsia" w:eastAsiaTheme="minorEastAsia"/>
                <w:kern w:val="0"/>
                <w:szCs w:val="21"/>
              </w:rPr>
              <w:t>掉落</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6.3.8</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涉及</w:t>
            </w:r>
            <w:r>
              <w:rPr>
                <w:rFonts w:asciiTheme="minorEastAsia" w:hAnsiTheme="minorEastAsia" w:eastAsiaTheme="minorEastAsia"/>
                <w:kern w:val="0"/>
                <w:szCs w:val="21"/>
              </w:rPr>
              <w:t>易燃易爆有机试剂的通风</w:t>
            </w:r>
            <w:r>
              <w:rPr>
                <w:rFonts w:hint="eastAsia" w:asciiTheme="minorEastAsia" w:hAnsiTheme="minorEastAsia" w:eastAsiaTheme="minorEastAsia"/>
                <w:kern w:val="0"/>
                <w:szCs w:val="21"/>
              </w:rPr>
              <w:t>橱</w:t>
            </w:r>
            <w:r>
              <w:rPr>
                <w:rFonts w:asciiTheme="minorEastAsia" w:hAnsiTheme="minorEastAsia" w:eastAsiaTheme="minorEastAsia"/>
                <w:kern w:val="0"/>
                <w:szCs w:val="21"/>
              </w:rPr>
              <w:t>内不得安装电源插座</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6.3.9</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配备通风罩等的实验场所，</w:t>
            </w:r>
            <w:r>
              <w:rPr>
                <w:rFonts w:asciiTheme="minorEastAsia" w:hAnsiTheme="minorEastAsia" w:eastAsiaTheme="minorEastAsia"/>
                <w:kern w:val="0"/>
                <w:szCs w:val="21"/>
              </w:rPr>
              <w:t>换气扇、风机使用正常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出口是否堵塞</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6.4</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在剧毒品、病原微生物，特种设备和放射源存放点等重点</w:t>
            </w:r>
            <w:r>
              <w:rPr>
                <w:rFonts w:asciiTheme="minorEastAsia" w:hAnsiTheme="minorEastAsia" w:eastAsiaTheme="minorEastAsia"/>
                <w:szCs w:val="21"/>
              </w:rPr>
              <w:t>场所</w:t>
            </w:r>
            <w:r>
              <w:rPr>
                <w:rFonts w:hint="eastAsia" w:asciiTheme="minorEastAsia" w:hAnsiTheme="minorEastAsia" w:eastAsiaTheme="minorEastAsia"/>
                <w:szCs w:val="21"/>
              </w:rPr>
              <w:t>安装门禁和监控设施，运转正常，有专人管理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监控不留死角，图像清晰，人员出入记录可查，视频记录存储时间大于1个月</w:t>
            </w:r>
            <w:r>
              <w:rPr>
                <w:rFonts w:asciiTheme="minorEastAsia" w:hAnsiTheme="minorEastAsia" w:eastAsiaTheme="minorEastAsia"/>
                <w:kern w:val="0"/>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实验室采用门禁系统</w:t>
            </w:r>
            <w:r>
              <w:rPr>
                <w:rFonts w:hint="eastAsia" w:asciiTheme="minorEastAsia" w:hAnsiTheme="minorEastAsia" w:eastAsiaTheme="minorEastAsia"/>
                <w:szCs w:val="21"/>
              </w:rPr>
              <w:t>的</w:t>
            </w:r>
            <w:r>
              <w:rPr>
                <w:rFonts w:asciiTheme="minorEastAsia" w:hAnsiTheme="minorEastAsia" w:eastAsiaTheme="minorEastAsia"/>
                <w:szCs w:val="21"/>
              </w:rPr>
              <w:t>，与实验室准入制度</w:t>
            </w:r>
            <w:r>
              <w:rPr>
                <w:rFonts w:hint="eastAsia" w:asciiTheme="minorEastAsia" w:hAnsiTheme="minorEastAsia" w:eastAsiaTheme="minorEastAsia"/>
                <w:szCs w:val="21"/>
              </w:rPr>
              <w:t>相</w:t>
            </w:r>
            <w:r>
              <w:rPr>
                <w:rFonts w:asciiTheme="minorEastAsia" w:hAnsiTheme="minorEastAsia" w:eastAsiaTheme="minorEastAsia"/>
                <w:szCs w:val="21"/>
              </w:rPr>
              <w:t>匹配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停电时</w:t>
            </w:r>
            <w:r>
              <w:rPr>
                <w:rFonts w:hint="eastAsia" w:asciiTheme="minorEastAsia" w:hAnsiTheme="minorEastAsia" w:eastAsiaTheme="minorEastAsia"/>
                <w:szCs w:val="21"/>
              </w:rPr>
              <w:t>，电子</w:t>
            </w:r>
            <w:r>
              <w:rPr>
                <w:rFonts w:asciiTheme="minorEastAsia" w:hAnsiTheme="minorEastAsia" w:eastAsiaTheme="minorEastAsia"/>
                <w:szCs w:val="21"/>
              </w:rPr>
              <w:t>门禁系统</w:t>
            </w:r>
            <w:r>
              <w:rPr>
                <w:rFonts w:hint="eastAsia" w:asciiTheme="minorEastAsia" w:hAnsiTheme="minorEastAsia" w:eastAsiaTheme="minorEastAsia"/>
                <w:szCs w:val="21"/>
              </w:rPr>
              <w:t>应</w:t>
            </w:r>
            <w:r>
              <w:rPr>
                <w:rFonts w:asciiTheme="minorEastAsia" w:hAnsiTheme="minorEastAsia" w:eastAsiaTheme="minorEastAsia"/>
                <w:szCs w:val="21"/>
              </w:rPr>
              <w:t>是开启状态</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6.5</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szCs w:val="21"/>
              </w:rPr>
            </w:pPr>
            <w:r>
              <w:rPr>
                <w:rFonts w:hint="eastAsia" w:asciiTheme="minorEastAsia" w:hAnsiTheme="minorEastAsia" w:eastAsiaTheme="minorEastAsia"/>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6.5.1</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防爆实验室需符合防爆设计要求，安装防爆开关、防爆灯等，安装必要</w:t>
            </w:r>
            <w:r>
              <w:rPr>
                <w:rFonts w:asciiTheme="minorEastAsia" w:hAnsiTheme="minorEastAsia" w:eastAsiaTheme="minorEastAsia"/>
                <w:szCs w:val="21"/>
              </w:rPr>
              <w:t>的</w:t>
            </w:r>
            <w:r>
              <w:rPr>
                <w:rFonts w:hint="eastAsia" w:asciiTheme="minorEastAsia" w:hAnsiTheme="minorEastAsia" w:eastAsiaTheme="minorEastAsia"/>
                <w:szCs w:val="21"/>
              </w:rPr>
              <w:t>气体报警系统、监控系统及断电断水应急系统等</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6.5.2</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6.5.3</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对于有爆炸危险性的仪器设备，应使用合适的安全罩防护。</w:t>
            </w:r>
            <w:r>
              <w:rPr>
                <w:rFonts w:asciiTheme="minorEastAsia" w:hAnsiTheme="minorEastAsia" w:eastAsiaTheme="minorEastAsia"/>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kern w:val="0"/>
                <w:szCs w:val="21"/>
              </w:rPr>
              <w:t>7.1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用电基础安全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用电</w:t>
            </w:r>
            <w:r>
              <w:rPr>
                <w:bCs/>
                <w:kern w:val="0"/>
                <w:szCs w:val="21"/>
              </w:rPr>
              <w:t>功率匹配</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 </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7.1.9</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配电柜/箱无物品遮挡并便于操作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pPr>
              <w:widowControl/>
              <w:tabs>
                <w:tab w:val="left" w:pos="630"/>
              </w:tabs>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 xml:space="preserve">位置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询问</w:t>
            </w:r>
            <w:r>
              <w:rPr>
                <w:bCs/>
                <w:kern w:val="0"/>
                <w:szCs w:val="21"/>
              </w:rPr>
              <w:t>实验人员</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查看发放登记纪录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现场查看、询问 </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r>
              <w:rPr>
                <w:bCs/>
                <w:kern w:val="0"/>
                <w:szCs w:val="21"/>
              </w:rPr>
              <w:t>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 xml:space="preserve">标识 </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实验纪录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查看提醒标识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实验记录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8.1</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8.1.1</w:t>
            </w:r>
          </w:p>
        </w:tc>
        <w:tc>
          <w:tcPr>
            <w:tcW w:w="5810" w:type="dxa"/>
            <w:shd w:val="clear" w:color="auto" w:fill="auto"/>
            <w:tcMar>
              <w:left w:w="45" w:type="dxa"/>
              <w:right w:w="45" w:type="dxa"/>
            </w:tcMar>
            <w:vAlign w:val="center"/>
          </w:tcPr>
          <w:p>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pPr>
              <w:spacing w:line="300" w:lineRule="exact"/>
              <w:jc w:val="left"/>
              <w:rPr>
                <w:kern w:val="0"/>
                <w:szCs w:val="21"/>
              </w:rPr>
            </w:pPr>
            <w:r>
              <w:rPr>
                <w:rFonts w:hint="eastAsia"/>
                <w:kern w:val="0"/>
                <w:szCs w:val="21"/>
              </w:rPr>
              <w:t>查看相关供应商的行政许可资质证书复印件；</w:t>
            </w:r>
          </w:p>
          <w:p>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8.1.2</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val="continue"/>
            <w:shd w:val="clear" w:color="auto" w:fill="auto"/>
            <w:tcMar>
              <w:left w:w="45" w:type="dxa"/>
              <w:right w:w="45" w:type="dxa"/>
            </w:tcMar>
            <w:vAlign w:val="center"/>
          </w:tcPr>
          <w:p>
            <w:pPr>
              <w:widowControl/>
              <w:spacing w:line="300" w:lineRule="exact"/>
              <w:rPr>
                <w:b/>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8.1.3</w:t>
            </w:r>
          </w:p>
        </w:tc>
        <w:tc>
          <w:tcPr>
            <w:tcW w:w="5810" w:type="dxa"/>
            <w:shd w:val="clear" w:color="auto" w:fill="auto"/>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val="continue"/>
            <w:shd w:val="clear" w:color="auto" w:fill="auto"/>
            <w:tcMar>
              <w:left w:w="45" w:type="dxa"/>
              <w:right w:w="45" w:type="dxa"/>
            </w:tcMar>
            <w:vAlign w:val="center"/>
          </w:tcPr>
          <w:p>
            <w:pPr>
              <w:widowControl/>
              <w:spacing w:line="300" w:lineRule="exact"/>
              <w:rPr>
                <w:b/>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8.1.4</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查看验收记录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8.1.5</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8.2.1</w:t>
            </w:r>
          </w:p>
        </w:tc>
        <w:tc>
          <w:tcPr>
            <w:tcW w:w="5810" w:type="dxa"/>
            <w:shd w:val="clear" w:color="auto" w:fill="auto"/>
            <w:tcMar>
              <w:left w:w="45" w:type="dxa"/>
              <w:right w:w="45" w:type="dxa"/>
            </w:tcMar>
            <w:vAlign w:val="center"/>
          </w:tcPr>
          <w:p>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8.2.2</w:t>
            </w:r>
          </w:p>
        </w:tc>
        <w:tc>
          <w:tcPr>
            <w:tcW w:w="5810" w:type="dxa"/>
            <w:shd w:val="clear" w:color="auto" w:fill="auto"/>
            <w:tcMar>
              <w:left w:w="45" w:type="dxa"/>
              <w:right w:w="45" w:type="dxa"/>
            </w:tcMar>
            <w:vAlign w:val="center"/>
          </w:tcPr>
          <w:p>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不应超过100L或100kg，其中易燃易爆性化学品的存放总量不应超过50L 或50kg，且单一包装容器不应大于20L或20kg</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如单个实验装置存在10L以上甲类物质储罐，或20L以上乙类物质储罐，或50L以上丙类物质储罐，需加装泄露报警器及通风联动装置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8.2.6</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rFonts w:ascii="宋体" w:hAnsi="ºÚÌå" w:cs="宋体"/>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3260" w:type="dxa"/>
            <w:shd w:val="clear" w:color="auto" w:fill="auto"/>
            <w:tcMar>
              <w:left w:w="45" w:type="dxa"/>
              <w:right w:w="45" w:type="dxa"/>
            </w:tcMar>
            <w:vAlign w:val="center"/>
          </w:tcPr>
          <w:p>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是否有作业指导书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控制</w:t>
            </w:r>
            <w:r>
              <w:rPr>
                <w:kern w:val="0"/>
                <w:szCs w:val="21"/>
              </w:rPr>
              <w:t>系统工作正常</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8.3.6</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剧毒品管理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2名分别掌管了钥匙和密码的保管人同时到场时才能开启保险柜</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8.4.2</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hint="eastAsia" w:ascii="宋体" w:cs="宋体"/>
                <w:kern w:val="0"/>
                <w:szCs w:val="21"/>
              </w:rPr>
              <w:t>应</w:t>
            </w:r>
            <w:r>
              <w:rPr>
                <w:rFonts w:hint="eastAsia"/>
                <w:kern w:val="0"/>
                <w:szCs w:val="21"/>
              </w:rPr>
              <w:t>严格</w:t>
            </w:r>
            <w:r>
              <w:rPr>
                <w:kern w:val="0"/>
                <w:szCs w:val="21"/>
              </w:rPr>
              <w:t>记录</w:t>
            </w:r>
            <w:r>
              <w:rPr>
                <w:rFonts w:hint="eastAsia" w:ascii="宋体" w:cs="宋体"/>
                <w:kern w:val="0"/>
                <w:szCs w:val="21"/>
              </w:rPr>
              <w:t>品种、规格以</w:t>
            </w:r>
            <w:r>
              <w:rPr>
                <w:rFonts w:ascii="宋体" w:cs="宋体"/>
                <w:kern w:val="0"/>
                <w:szCs w:val="21"/>
              </w:rPr>
              <w:t>及</w:t>
            </w:r>
            <w:r>
              <w:rPr>
                <w:rFonts w:hint="eastAsia" w:ascii="宋体" w:cs="宋体"/>
                <w:kern w:val="0"/>
                <w:szCs w:val="21"/>
              </w:rPr>
              <w:t>购入、发放、退回的日期、单位及经手人、数量以及结存数量</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使用时有两人同时在场，且计量取用后立即放回保险柜，</w:t>
            </w:r>
            <w:r>
              <w:rPr>
                <w:rFonts w:hint="eastAsia" w:ascii="宋体" w:cs="宋体"/>
                <w:kern w:val="0"/>
                <w:szCs w:val="21"/>
              </w:rPr>
              <w:t>详细记载用途，</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其中第一类易制毒品实行“五双”管理制度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8.5.4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hAnsi="MS Mincho" w:eastAsia="MS Mincho"/>
                <w:bCs/>
                <w:kern w:val="0"/>
                <w:szCs w:val="21"/>
              </w:rPr>
              <w:t>“</w:t>
            </w:r>
            <w:r>
              <w:rPr>
                <w:bCs/>
                <w:kern w:val="0"/>
                <w:szCs w:val="21"/>
              </w:rPr>
              <w:t>满、使用中、用完</w:t>
            </w:r>
            <w:r>
              <w:rPr>
                <w:rFonts w:ascii="MS Mincho" w:hAnsi="MS Mincho" w:eastAsia="MS Mincho"/>
                <w:bCs/>
                <w:kern w:val="0"/>
                <w:szCs w:val="21"/>
              </w:rPr>
              <w:t>”</w:t>
            </w:r>
            <w:r>
              <w:rPr>
                <w:bCs/>
                <w:kern w:val="0"/>
                <w:szCs w:val="21"/>
              </w:rPr>
              <w:t>三种状态</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8.6.9</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8.6.10</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8.8.1</w:t>
            </w:r>
          </w:p>
        </w:tc>
        <w:tc>
          <w:tcPr>
            <w:tcW w:w="5810" w:type="dxa"/>
            <w:shd w:val="clear" w:color="auto" w:fill="auto"/>
            <w:tcMar>
              <w:left w:w="45" w:type="dxa"/>
              <w:right w:w="45" w:type="dxa"/>
            </w:tcMar>
            <w:vAlign w:val="center"/>
          </w:tcPr>
          <w:p>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8.8.2</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8.8.3</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8.8.4</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8.8.5</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8.9</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信息</w:t>
            </w:r>
            <w:r>
              <w:rPr>
                <w:bCs/>
                <w:kern w:val="0"/>
                <w:szCs w:val="21"/>
              </w:rPr>
              <w:t>不缺项</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化学</w:t>
            </w:r>
            <w:r>
              <w:rPr>
                <w:szCs w:val="21"/>
              </w:rPr>
              <w:t>实验室内有吸液（油）棉/条带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开展未经灭活的高致病性病原微生物（列入一类、二类）相关实验和研究，必须在BSL-3/ABSL-3、BSL-4/ABSL-4实验室中进行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hint="eastAsia" w:eastAsia="黑体"/>
                <w:kern w:val="0"/>
                <w:szCs w:val="21"/>
              </w:rPr>
              <w:t>9.1.5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严格按照国家法律法规和学校相关规定开展转基因、人类遗传资源的相关研究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 xml:space="preserve">正常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BSL-2/ABSL-2及以上安全等级实验室须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三级/四级实验室配备应急供电及应急淋浴设施</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9.3</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有相关规定、查记录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9.3.6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检查存档资料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9.4.2</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有上岗前体检和离岗体检，长期工作有定期体检</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9.4.3</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记录本</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9.4.4</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9.4.6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查看现场、询问</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9.5.7</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9.5.8</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证书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9.6.3</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9.6.4</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文件</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合同、记录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9.7.7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10.1.1</w:t>
            </w:r>
          </w:p>
        </w:tc>
        <w:tc>
          <w:tcPr>
            <w:tcW w:w="5810" w:type="dxa"/>
            <w:shd w:val="clear" w:color="auto" w:fill="auto"/>
            <w:tcMar>
              <w:left w:w="45" w:type="dxa"/>
              <w:right w:w="45" w:type="dxa"/>
            </w:tcMar>
            <w:vAlign w:val="center"/>
          </w:tcPr>
          <w:p>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取得“辐射安全许可证”，并按规定在放射性核素种类和用量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10.1.2</w:t>
            </w:r>
          </w:p>
        </w:tc>
        <w:tc>
          <w:tcPr>
            <w:tcW w:w="581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（4年</w:t>
            </w:r>
            <w:r>
              <w:rPr>
                <w:kern w:val="0"/>
                <w:szCs w:val="21"/>
              </w:rPr>
              <w:t>复训</w:t>
            </w:r>
            <w:r>
              <w:rPr>
                <w:rFonts w:hint="eastAsia"/>
                <w:kern w:val="0"/>
                <w:szCs w:val="21"/>
              </w:rPr>
              <w:t>1次）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查看培训证书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体检报告</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有资质单位按时进行剂量检测（3个月一次），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实验场所（放射性物质、X射线装置）有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有准确的台帐</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采购、转让转移与运输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Г辐照装置有符合国家相关规定的操作规程、安保方案及应急预案，并遵照执行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5类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短半衰期核素固液废弃物放置10个半衰期经检测达标后作为普通废物处理，并有处置记录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查看电源配电箱、地线</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11.1.3</w:t>
            </w:r>
          </w:p>
        </w:tc>
        <w:tc>
          <w:tcPr>
            <w:tcW w:w="5810" w:type="dxa"/>
            <w:shd w:val="clear" w:color="auto" w:fill="auto"/>
            <w:tcMar>
              <w:left w:w="45" w:type="dxa"/>
              <w:right w:w="45" w:type="dxa"/>
            </w:tcMar>
            <w:vAlign w:val="center"/>
          </w:tcPr>
          <w:p>
            <w:pPr>
              <w:spacing w:line="300" w:lineRule="exact"/>
              <w:rPr>
                <w:szCs w:val="21"/>
              </w:rPr>
            </w:pPr>
            <w:r>
              <w:rPr>
                <w:rFonts w:hint="eastAsia"/>
                <w:szCs w:val="21"/>
              </w:rPr>
              <w:t>仪器设备接地系统应按规范要求，采用铜质材料，且设计寿命不应低于50年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接地电阻不高于0.5欧</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查看记录及维修、维护周期</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有手册或规范明示牌</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昼夜工作的设备要有实时监控设施</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11.1.9</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检查是否有安全空间</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检查避光、遮光</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11.2</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检查操作提示、防护配置；有人操作时检查执行情况</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11.2.2</w:t>
            </w:r>
          </w:p>
        </w:tc>
        <w:tc>
          <w:tcPr>
            <w:tcW w:w="5810" w:type="dxa"/>
            <w:shd w:val="clear" w:color="auto" w:fill="auto"/>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检查机床整洁</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检查区域标示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检查接地，用电笔检查设备静电</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锻压设备不得空打或大力敲打过薄锻件，锻造时锻件应达到850 C以上，锻锤空置时应垫有木块</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11.2.9</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11.2.10</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 xml:space="preserve">铸造实验场地宽敞、通道畅通，实验时穿好劳动保护服装 </w:t>
            </w:r>
          </w:p>
        </w:tc>
        <w:tc>
          <w:tcPr>
            <w:tcW w:w="3260" w:type="dxa"/>
            <w:shd w:val="clear" w:color="auto" w:fill="auto"/>
            <w:tcMar>
              <w:left w:w="45" w:type="dxa"/>
              <w:right w:w="45" w:type="dxa"/>
            </w:tcMar>
            <w:vAlign w:val="center"/>
          </w:tcPr>
          <w:p>
            <w:pPr>
              <w:spacing w:line="300" w:lineRule="exac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11.2.13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2米以上高空临边、攀登作业，要穿防滑鞋、使用安全带，有相关安全操作规程</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11.3</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 xml:space="preserve">电气设备所用的保险丝(管)的额定电流应与其负荷容量相适应，无用其它金属线代替保险丝(片)现象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检查设备及要求</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检查室内机及设备配电</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11.3.3</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检查实验要求、</w:t>
            </w:r>
            <w:r>
              <w:rPr>
                <w:kern w:val="0"/>
                <w:szCs w:val="21"/>
              </w:rPr>
              <w:t>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11.3.6</w:t>
            </w:r>
          </w:p>
        </w:tc>
        <w:tc>
          <w:tcPr>
            <w:tcW w:w="5810" w:type="dxa"/>
            <w:shd w:val="clear" w:color="auto" w:fill="auto"/>
            <w:tcMar>
              <w:left w:w="45" w:type="dxa"/>
              <w:right w:w="45" w:type="dxa"/>
            </w:tcMar>
            <w:vAlign w:val="center"/>
          </w:tcPr>
          <w:p>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安全距离：10kV为0.7m；66kV为1.5m；220kV为3m；</w:t>
            </w:r>
            <w:r>
              <w:rPr>
                <w:rFonts w:hint="eastAsia"/>
                <w:bCs/>
                <w:kern w:val="0"/>
                <w:szCs w:val="21"/>
              </w:rPr>
              <w:t>检查报警系统</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11.3.7</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11.3.8</w:t>
            </w:r>
          </w:p>
        </w:tc>
        <w:tc>
          <w:tcPr>
            <w:tcW w:w="5810" w:type="dxa"/>
            <w:shd w:val="clear" w:color="auto" w:fill="auto"/>
            <w:tcMar>
              <w:left w:w="45" w:type="dxa"/>
              <w:right w:w="45" w:type="dxa"/>
            </w:tcMar>
            <w:vAlign w:val="center"/>
          </w:tcPr>
          <w:p>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检查护具及提示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11.3.9</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检查试验要求</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11.3.10</w:t>
            </w:r>
          </w:p>
        </w:tc>
        <w:tc>
          <w:tcPr>
            <w:tcW w:w="5810" w:type="dxa"/>
            <w:shd w:val="clear" w:color="auto" w:fill="auto"/>
            <w:tcMar>
              <w:left w:w="45" w:type="dxa"/>
              <w:right w:w="45" w:type="dxa"/>
            </w:tcMar>
            <w:vAlign w:val="center"/>
          </w:tcPr>
          <w:p>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标识牌</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kern w:val="0"/>
                <w:szCs w:val="21"/>
              </w:rPr>
            </w:pPr>
            <w:r>
              <w:rPr>
                <w:rFonts w:eastAsia="黑体"/>
                <w:kern w:val="0"/>
                <w:szCs w:val="21"/>
              </w:rPr>
              <w:t>11.3.11</w:t>
            </w:r>
          </w:p>
        </w:tc>
        <w:tc>
          <w:tcPr>
            <w:tcW w:w="5810" w:type="dxa"/>
            <w:shd w:val="clear" w:color="auto" w:fill="auto"/>
            <w:tcMar>
              <w:left w:w="45" w:type="dxa"/>
              <w:right w:w="45" w:type="dxa"/>
            </w:tcMar>
            <w:vAlign w:val="center"/>
          </w:tcPr>
          <w:p>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11.3.12</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11.4</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11.4.1</w:t>
            </w:r>
          </w:p>
        </w:tc>
        <w:tc>
          <w:tcPr>
            <w:tcW w:w="5810" w:type="dxa"/>
            <w:shd w:val="clear" w:color="auto" w:fill="auto"/>
            <w:tcMar>
              <w:left w:w="45" w:type="dxa"/>
              <w:right w:w="45" w:type="dxa"/>
            </w:tcMar>
            <w:vAlign w:val="center"/>
          </w:tcPr>
          <w:p>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检查提示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11.4.2</w:t>
            </w:r>
          </w:p>
        </w:tc>
        <w:tc>
          <w:tcPr>
            <w:tcW w:w="5810" w:type="dxa"/>
            <w:shd w:val="clear" w:color="auto" w:fill="auto"/>
            <w:tcMar>
              <w:left w:w="45" w:type="dxa"/>
              <w:right w:w="45" w:type="dxa"/>
            </w:tcMar>
            <w:vAlign w:val="center"/>
          </w:tcPr>
          <w:p>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11.4.3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检查护具、提示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11.4.4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11.5</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11.5.5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11.5.6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11.5.7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粮食粉尘爆炸下限为40--200g/m</w:t>
            </w:r>
            <w:r>
              <w:rPr>
                <w:rFonts w:hint="eastAsia"/>
                <w:kern w:val="0"/>
                <w:szCs w:val="21"/>
                <w:vertAlign w:val="superscript"/>
              </w:rPr>
              <w:t>3</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11.5.8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粉尘浓度较高的场所，有加湿装置（喷雾）使湿度在65%以上</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额定起重量大于等于3t且提升高度大于等于2m的起重设备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，并每4年复审一次</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证书是否在有效期</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合格证是否在有效期内</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试验</w:t>
            </w:r>
            <w:r>
              <w:rPr>
                <w:kern w:val="0"/>
                <w:szCs w:val="21"/>
              </w:rPr>
              <w:t>声光报警器</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设备铭牌上标明为简单压力容器不需办理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《特种设备作业人员证》是否在有效期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合格证是否在有效期内</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原则上不超期使用。对于已达设计使用年限，或未规定使用年限但已超过20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新的证书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12.2.6</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有隔离装置，坚固牢靠</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12.2.7</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可燃性性</w:t>
            </w:r>
            <w:r>
              <w:rPr>
                <w:kern w:val="0"/>
                <w:szCs w:val="21"/>
              </w:rPr>
              <w:t>气罐远离火源热源</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12.2.8</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电气设施是否防爆，避雷装置是否接地</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12.2.9</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12.2.10</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 xml:space="preserve">实行使用登记制度，及时填写“使用登记表” </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使用登记表内容完整</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12.2.11</w:t>
            </w:r>
          </w:p>
        </w:tc>
        <w:tc>
          <w:tcPr>
            <w:tcW w:w="5810" w:type="dxa"/>
            <w:shd w:val="clear" w:color="auto" w:fill="auto"/>
            <w:tcMar>
              <w:left w:w="45" w:type="dxa"/>
              <w:right w:w="45" w:type="dxa"/>
            </w:tcMar>
            <w:vAlign w:val="center"/>
          </w:tcPr>
          <w:p>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有检查表记录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pPr>
              <w:widowControl/>
              <w:spacing w:line="300" w:lineRule="exact"/>
              <w:jc w:val="left"/>
              <w:rPr>
                <w:kern w:val="0"/>
                <w:szCs w:val="21"/>
              </w:rPr>
            </w:pP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冰箱管理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查看冰箱及</w:t>
            </w:r>
            <w:r>
              <w:rPr>
                <w:kern w:val="0"/>
                <w:szCs w:val="21"/>
              </w:rPr>
              <w:t>清理记录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螺口拧紧，无开口容器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出10cm</w:t>
            </w:r>
            <w:r>
              <w:rPr>
                <w:rFonts w:hint="eastAsia"/>
                <w:kern w:val="0"/>
                <w:szCs w:val="21"/>
              </w:rPr>
              <w:t>，</w:t>
            </w:r>
            <w:r>
              <w:rPr>
                <w:kern w:val="0"/>
                <w:szCs w:val="21"/>
              </w:rPr>
              <w:t>上部最少30cm的距离</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实验区和办公生活区严格区分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烘箱与电阻炉管理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张贴有安全操作规程、警示标识</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现场、询问师生</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明火电炉与电吹风等管理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许可证</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现场、询问学生</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247" w:right="1418" w:bottom="113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THU" w:date="2017-05-13T21:17:00Z"/>
  <w:sdt>
    <w:sdtPr>
      <w:rPr/>
      <w:id w:val="1132680932"/>
    </w:sdtPr>
    <w:sdtEndPr>
      <w:rPr/>
    </w:sdtEndPr>
    <w:sdtContent>
      <w:customXmlInsRangeEnd w:id="0"/>
      <w:p>
        <w:pPr>
          <w:pStyle w:val="13"/>
          <w:jc w:val="center"/>
          <w:rPr>
            <w:ins w:id="2" w:author="THU" w:date="2017-05-13T21:17:00Z"/>
          </w:rPr>
        </w:pPr>
        <w:ins w:id="4" w:author="THU" w:date="2017-05-13T21:17:00Z">
          <w:r>
            <w:rPr/>
            <w:fldChar w:fldCharType="begin"/>
          </w:r>
        </w:ins>
        <w:ins w:id="5" w:author="THU" w:date="2017-05-13T21:17:00Z">
          <w:r>
            <w:rPr/>
            <w:instrText xml:space="preserve">PAGE   \* MERGEFORMAT</w:instrText>
          </w:r>
        </w:ins>
        <w:ins w:id="6" w:author="THU" w:date="2017-05-13T21:17:00Z">
          <w:r>
            <w:rPr/>
            <w:fldChar w:fldCharType="separate"/>
          </w:r>
        </w:ins>
        <w:r>
          <w:rPr>
            <w:lang w:val="zh-CN"/>
          </w:rPr>
          <w:t>-</w:t>
        </w:r>
        <w:r>
          <w:t xml:space="preserve"> 1 -</w:t>
        </w:r>
        <w:ins w:id="7" w:author="THU" w:date="2017-05-13T21:17:00Z">
          <w:r>
            <w:rPr/>
            <w:fldChar w:fldCharType="end"/>
          </w:r>
        </w:ins>
      </w:p>
      <w:customXmlInsRangeStart w:id="9" w:author="THU" w:date="2017-05-13T21:17:00Z"/>
    </w:sdtContent>
  </w:sdt>
  <w:customXmlInsRangeEnd w:id="9"/>
  <w:p>
    <w:pPr>
      <w:pStyle w:val="1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47F3"/>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7F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2D7A"/>
    <w:rsid w:val="0036517E"/>
    <w:rsid w:val="00365B6D"/>
    <w:rsid w:val="00366172"/>
    <w:rsid w:val="0036769E"/>
    <w:rsid w:val="00367ADB"/>
    <w:rsid w:val="00373C75"/>
    <w:rsid w:val="00376FAB"/>
    <w:rsid w:val="0037763C"/>
    <w:rsid w:val="00377F67"/>
    <w:rsid w:val="00381C42"/>
    <w:rsid w:val="00387213"/>
    <w:rsid w:val="00387D20"/>
    <w:rsid w:val="00390D3D"/>
    <w:rsid w:val="00391CDC"/>
    <w:rsid w:val="00392D88"/>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D708B"/>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4579"/>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5FA4"/>
    <w:rsid w:val="004A60DD"/>
    <w:rsid w:val="004B0CEC"/>
    <w:rsid w:val="004B17E1"/>
    <w:rsid w:val="004B2DB2"/>
    <w:rsid w:val="004C130A"/>
    <w:rsid w:val="004C1F34"/>
    <w:rsid w:val="004C4077"/>
    <w:rsid w:val="004C689D"/>
    <w:rsid w:val="004C7968"/>
    <w:rsid w:val="004D198C"/>
    <w:rsid w:val="004D4C5E"/>
    <w:rsid w:val="004D617A"/>
    <w:rsid w:val="004D7784"/>
    <w:rsid w:val="004D7E49"/>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B4D"/>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2E9C"/>
    <w:rsid w:val="0062355B"/>
    <w:rsid w:val="00626296"/>
    <w:rsid w:val="0062679F"/>
    <w:rsid w:val="00630176"/>
    <w:rsid w:val="00630DB7"/>
    <w:rsid w:val="006329A4"/>
    <w:rsid w:val="00632D65"/>
    <w:rsid w:val="00634569"/>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34DC0"/>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537"/>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080D"/>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B71E9"/>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4B74"/>
    <w:rsid w:val="00F463BA"/>
    <w:rsid w:val="00F47256"/>
    <w:rsid w:val="00F547FB"/>
    <w:rsid w:val="00F636DA"/>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367A3B38"/>
    <w:rsid w:val="4E9F73FB"/>
    <w:rsid w:val="54E86EE4"/>
    <w:rsid w:val="5CF01AC2"/>
    <w:rsid w:val="5D4E5899"/>
    <w:rsid w:val="60895EF6"/>
    <w:rsid w:val="69955344"/>
    <w:rsid w:val="6D5C7B39"/>
    <w:rsid w:val="7BF2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50"/>
    <w:qFormat/>
    <w:uiPriority w:val="0"/>
    <w:pPr>
      <w:spacing w:line="460" w:lineRule="exact"/>
      <w:jc w:val="left"/>
    </w:pPr>
    <w:rPr>
      <w:rFonts w:ascii="Calibri" w:hAnsi="Calibri"/>
      <w:szCs w:val="21"/>
    </w:rPr>
  </w:style>
  <w:style w:type="paragraph" w:styleId="7">
    <w:name w:val="Body Text"/>
    <w:basedOn w:val="1"/>
    <w:link w:val="45"/>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32"/>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semiHidden/>
    <w:qFormat/>
    <w:uiPriority w:val="0"/>
    <w:rPr>
      <w:kern w:val="0"/>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5"/>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semiHidden/>
    <w:qFormat/>
    <w:uiPriority w:val="0"/>
    <w:rPr>
      <w:rFonts w:cs="Times New Roman"/>
      <w:vertAlign w:val="superscript"/>
    </w:rPr>
  </w:style>
  <w:style w:type="paragraph" w:customStyle="1" w:styleId="26">
    <w:name w:val="列出段落1"/>
    <w:basedOn w:val="1"/>
    <w:qFormat/>
    <w:uiPriority w:val="0"/>
    <w:pPr>
      <w:ind w:firstLine="420" w:firstLineChars="200"/>
    </w:pPr>
  </w:style>
  <w:style w:type="character" w:customStyle="1" w:styleId="27">
    <w:name w:val="页眉 Char"/>
    <w:link w:val="14"/>
    <w:qFormat/>
    <w:locked/>
    <w:uiPriority w:val="0"/>
    <w:rPr>
      <w:rFonts w:cs="Times New Roman"/>
      <w:sz w:val="18"/>
      <w:szCs w:val="18"/>
    </w:rPr>
  </w:style>
  <w:style w:type="character" w:customStyle="1" w:styleId="28">
    <w:name w:val="页脚 Char"/>
    <w:link w:val="13"/>
    <w:qFormat/>
    <w:locked/>
    <w:uiPriority w:val="99"/>
    <w:rPr>
      <w:rFonts w:cs="Times New Roman"/>
      <w:sz w:val="18"/>
      <w:szCs w:val="18"/>
    </w:rPr>
  </w:style>
  <w:style w:type="character" w:customStyle="1" w:styleId="29">
    <w:name w:val="文档结构图 Char"/>
    <w:link w:val="5"/>
    <w:qFormat/>
    <w:locked/>
    <w:uiPriority w:val="0"/>
    <w:rPr>
      <w:rFonts w:ascii="宋体" w:cs="Times New Roman"/>
      <w:sz w:val="18"/>
      <w:szCs w:val="18"/>
    </w:rPr>
  </w:style>
  <w:style w:type="character" w:customStyle="1" w:styleId="30">
    <w:name w:val="标题 1 Char"/>
    <w:link w:val="2"/>
    <w:qFormat/>
    <w:locked/>
    <w:uiPriority w:val="0"/>
    <w:rPr>
      <w:rFonts w:cs="Times New Roman"/>
      <w:b/>
      <w:bCs/>
      <w:kern w:val="44"/>
      <w:sz w:val="44"/>
      <w:szCs w:val="44"/>
    </w:rPr>
  </w:style>
  <w:style w:type="character" w:customStyle="1" w:styleId="31">
    <w:name w:val="批注框文本 Char"/>
    <w:link w:val="12"/>
    <w:qFormat/>
    <w:locked/>
    <w:uiPriority w:val="0"/>
    <w:rPr>
      <w:rFonts w:cs="Times New Roman"/>
      <w:sz w:val="18"/>
      <w:szCs w:val="18"/>
    </w:rPr>
  </w:style>
  <w:style w:type="character" w:customStyle="1" w:styleId="32">
    <w:name w:val="日期 Char"/>
    <w:link w:val="10"/>
    <w:qFormat/>
    <w:locked/>
    <w:uiPriority w:val="0"/>
    <w:rPr>
      <w:rFonts w:cs="Times New Roman"/>
      <w:sz w:val="24"/>
      <w:szCs w:val="24"/>
    </w:rPr>
  </w:style>
  <w:style w:type="paragraph" w:customStyle="1" w:styleId="33">
    <w:name w:val="修订1"/>
    <w:hidden/>
    <w:qFormat/>
    <w:uiPriority w:val="0"/>
    <w:rPr>
      <w:rFonts w:ascii="Times New Roman" w:hAnsi="Times New Roman" w:eastAsia="宋体" w:cs="Times New Roman"/>
      <w:kern w:val="2"/>
      <w:sz w:val="21"/>
      <w:szCs w:val="24"/>
      <w:lang w:val="en-US" w:eastAsia="zh-CN" w:bidi="ar-SA"/>
    </w:rPr>
  </w:style>
  <w:style w:type="character" w:customStyle="1" w:styleId="34">
    <w:name w:val="标题 2 Char"/>
    <w:link w:val="3"/>
    <w:qFormat/>
    <w:locked/>
    <w:uiPriority w:val="0"/>
    <w:rPr>
      <w:rFonts w:ascii="宋体" w:eastAsia="宋体" w:cs="Times New Roman"/>
      <w:b/>
      <w:bCs/>
      <w:sz w:val="36"/>
      <w:szCs w:val="36"/>
    </w:rPr>
  </w:style>
  <w:style w:type="character" w:customStyle="1" w:styleId="35">
    <w:name w:val="正文文本缩进 3 Char"/>
    <w:link w:val="15"/>
    <w:qFormat/>
    <w:locked/>
    <w:uiPriority w:val="0"/>
    <w:rPr>
      <w:rFonts w:ascii="宋体" w:eastAsia="宋体" w:cs="Times New Roman"/>
      <w:sz w:val="21"/>
      <w:szCs w:val="21"/>
    </w:rPr>
  </w:style>
  <w:style w:type="paragraph" w:customStyle="1" w:styleId="3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character" w:customStyle="1" w:styleId="38">
    <w:name w:val="正文文本缩进 Char"/>
    <w:link w:val="8"/>
    <w:qFormat/>
    <w:locked/>
    <w:uiPriority w:val="0"/>
    <w:rPr>
      <w:rFonts w:ascii="仿宋_GB2312" w:eastAsia="仿宋_GB2312" w:cs="Times New Roman"/>
      <w:kern w:val="2"/>
      <w:sz w:val="32"/>
    </w:rPr>
  </w:style>
  <w:style w:type="paragraph" w:customStyle="1" w:styleId="39">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0">
    <w:name w:val="主题词"/>
    <w:basedOn w:val="1"/>
    <w:qFormat/>
    <w:uiPriority w:val="0"/>
    <w:pPr>
      <w:adjustRightInd w:val="0"/>
      <w:spacing w:line="440" w:lineRule="atLeast"/>
      <w:jc w:val="left"/>
      <w:textAlignment w:val="bottom"/>
    </w:pPr>
    <w:rPr>
      <w:rFonts w:eastAsia="黑体"/>
      <w:kern w:val="0"/>
      <w:sz w:val="28"/>
      <w:szCs w:val="20"/>
    </w:rPr>
  </w:style>
  <w:style w:type="paragraph" w:customStyle="1" w:styleId="41">
    <w:name w:val="函号"/>
    <w:basedOn w:val="1"/>
    <w:qFormat/>
    <w:uiPriority w:val="0"/>
    <w:pPr>
      <w:adjustRightInd w:val="0"/>
      <w:spacing w:line="440" w:lineRule="atLeast"/>
      <w:jc w:val="right"/>
      <w:textAlignment w:val="bottom"/>
    </w:pPr>
    <w:rPr>
      <w:rFonts w:eastAsia="仿宋_GB2312"/>
      <w:kern w:val="0"/>
      <w:sz w:val="28"/>
      <w:szCs w:val="20"/>
    </w:rPr>
  </w:style>
  <w:style w:type="character" w:customStyle="1" w:styleId="42">
    <w:name w:val="正文文本缩进 2 Char"/>
    <w:link w:val="11"/>
    <w:qFormat/>
    <w:locked/>
    <w:uiPriority w:val="0"/>
    <w:rPr>
      <w:rFonts w:ascii="仿宋_GB2312" w:eastAsia="仿宋_GB2312" w:cs="Times New Roman"/>
      <w:sz w:val="28"/>
    </w:rPr>
  </w:style>
  <w:style w:type="paragraph" w:customStyle="1" w:styleId="43">
    <w:name w:val="文号"/>
    <w:basedOn w:val="1"/>
    <w:qFormat/>
    <w:uiPriority w:val="0"/>
    <w:pPr>
      <w:adjustRightInd w:val="0"/>
      <w:spacing w:before="2550" w:line="360" w:lineRule="atLeast"/>
      <w:jc w:val="center"/>
      <w:textAlignment w:val="baseline"/>
    </w:pPr>
    <w:rPr>
      <w:rFonts w:eastAsia="仿宋_GB2312"/>
      <w:kern w:val="0"/>
      <w:sz w:val="28"/>
      <w:szCs w:val="20"/>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正文文本 Char"/>
    <w:link w:val="7"/>
    <w:qFormat/>
    <w:locked/>
    <w:uiPriority w:val="0"/>
    <w:rPr>
      <w:rFonts w:eastAsia="仿宋_GB2312" w:cs="Times New Roman"/>
      <w:kern w:val="2"/>
      <w:sz w:val="28"/>
    </w:rPr>
  </w:style>
  <w:style w:type="character" w:customStyle="1" w:styleId="46">
    <w:name w:val="unnamed2"/>
    <w:qFormat/>
    <w:uiPriority w:val="0"/>
    <w:rPr>
      <w:rFonts w:cs="Times New Roman"/>
    </w:rPr>
  </w:style>
  <w:style w:type="character" w:customStyle="1" w:styleId="47">
    <w:name w:val="high-light-bg4"/>
    <w:qFormat/>
    <w:uiPriority w:val="0"/>
    <w:rPr>
      <w:rFonts w:cs="Times New Roman"/>
    </w:rPr>
  </w:style>
  <w:style w:type="paragraph" w:customStyle="1" w:styleId="4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49">
    <w:name w:val="edited2"/>
    <w:qFormat/>
    <w:uiPriority w:val="0"/>
    <w:rPr>
      <w:rFonts w:cs="Times New Roman"/>
    </w:rPr>
  </w:style>
  <w:style w:type="character" w:customStyle="1" w:styleId="50">
    <w:name w:val="批注文字 Char"/>
    <w:link w:val="6"/>
    <w:qFormat/>
    <w:locked/>
    <w:uiPriority w:val="0"/>
    <w:rPr>
      <w:rFonts w:ascii="Calibri" w:hAnsi="Calibri" w:cs="Calibri"/>
      <w:kern w:val="2"/>
      <w:sz w:val="21"/>
      <w:szCs w:val="21"/>
    </w:rPr>
  </w:style>
  <w:style w:type="character" w:customStyle="1" w:styleId="51">
    <w:name w:val="批注主题 Char"/>
    <w:link w:val="17"/>
    <w:semiHidden/>
    <w:qFormat/>
    <w:locked/>
    <w:uiPriority w:val="0"/>
    <w:rPr>
      <w:rFonts w:ascii="Calibri" w:hAnsi="Calibri" w:cs="Calibri"/>
      <w:b/>
      <w:bCs/>
      <w:kern w:val="2"/>
      <w:sz w:val="21"/>
      <w:szCs w:val="21"/>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2F1D2-D74A-4437-8A81-9A7E2F0112DD}">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29</Pages>
  <Words>3256</Words>
  <Characters>18560</Characters>
  <Lines>154</Lines>
  <Paragraphs>43</Paragraphs>
  <TotalTime>50</TotalTime>
  <ScaleCrop>false</ScaleCrop>
  <LinksUpToDate>false</LinksUpToDate>
  <CharactersWithSpaces>21773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2017-06-08T09:55:00Z</dcterms:created>
  <dc:creator>LIU</dc:creator>
  <cp:lastModifiedBy>Kalle</cp:lastModifiedBy>
  <cp:lastPrinted>2016-09-26T02:07:00Z</cp:lastPrinted>
  <dcterms:modified xsi:type="dcterms:W3CDTF">2022-03-07T02:45:29Z</dcterms:modified>
  <dc:titl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55A24C342A4D4FB1ADE8346DE109C7B4</vt:lpwstr>
  </property>
</Properties>
</file>